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EE4CAB" w:rsidRDefault="00EE4CAB"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74167A" w:rsidRPr="00AE76FF" w:rsidRDefault="0074167A" w:rsidP="00A82027">
      <w:pPr>
        <w:pStyle w:val="BodyText"/>
        <w:jc w:val="center"/>
        <w:rPr>
          <w:b/>
        </w:rPr>
      </w:pPr>
      <w:r w:rsidRPr="00AE76FF">
        <w:rPr>
          <w:b/>
        </w:rPr>
        <w:t>“</w:t>
      </w:r>
      <w:r w:rsidR="00EE4CAB" w:rsidRPr="009A2AEC">
        <w:rPr>
          <w:b/>
          <w:bCs/>
        </w:rPr>
        <w:t>Доставка на амоняк 25 % (амонячна вода – NH</w:t>
      </w:r>
      <w:r w:rsidR="00EE4CAB" w:rsidRPr="009A2AEC">
        <w:rPr>
          <w:b/>
          <w:bCs/>
          <w:vertAlign w:val="subscript"/>
        </w:rPr>
        <w:t>4</w:t>
      </w:r>
      <w:r w:rsidR="00EE4CAB" w:rsidRPr="009A2AEC">
        <w:rPr>
          <w:b/>
          <w:bCs/>
        </w:rPr>
        <w:t>OH)</w:t>
      </w:r>
      <w:r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750" w:type="dxa"/>
        <w:tblInd w:w="55" w:type="dxa"/>
        <w:tblLayout w:type="fixed"/>
        <w:tblCellMar>
          <w:left w:w="70" w:type="dxa"/>
          <w:right w:w="70" w:type="dxa"/>
        </w:tblCellMar>
        <w:tblLook w:val="0000"/>
      </w:tblPr>
      <w:tblGrid>
        <w:gridCol w:w="399"/>
        <w:gridCol w:w="718"/>
        <w:gridCol w:w="1450"/>
        <w:gridCol w:w="2139"/>
        <w:gridCol w:w="1275"/>
        <w:gridCol w:w="1134"/>
        <w:gridCol w:w="816"/>
        <w:gridCol w:w="885"/>
        <w:gridCol w:w="1416"/>
        <w:gridCol w:w="1407"/>
        <w:gridCol w:w="1701"/>
        <w:gridCol w:w="1276"/>
        <w:gridCol w:w="1134"/>
      </w:tblGrid>
      <w:tr w:rsidR="00A975D0" w:rsidRPr="00BD60AB" w:rsidTr="00A975D0">
        <w:trPr>
          <w:trHeight w:val="2038"/>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ИД  по </w:t>
            </w:r>
            <w:proofErr w:type="spellStart"/>
            <w:r w:rsidRPr="00BD60AB">
              <w:rPr>
                <w:b/>
                <w:bCs/>
                <w:sz w:val="18"/>
                <w:szCs w:val="18"/>
                <w:lang w:val="bg-BG"/>
              </w:rPr>
              <w:t>BaaN</w:t>
            </w:r>
            <w:proofErr w:type="spellEnd"/>
          </w:p>
        </w:tc>
        <w:tc>
          <w:tcPr>
            <w:tcW w:w="1450"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Наименование </w:t>
            </w:r>
          </w:p>
        </w:tc>
        <w:tc>
          <w:tcPr>
            <w:tcW w:w="2139"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Дименсия</w:t>
            </w:r>
            <w:proofErr w:type="spellEnd"/>
          </w:p>
        </w:tc>
        <w:tc>
          <w:tcPr>
            <w:tcW w:w="1134"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A975D0" w:rsidRPr="00F43259" w:rsidRDefault="00A975D0"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885"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416"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A975D0" w:rsidRPr="00C872F1" w:rsidRDefault="00A975D0" w:rsidP="001121C2">
            <w:pPr>
              <w:jc w:val="center"/>
              <w:rPr>
                <w:b/>
                <w:bCs/>
                <w:sz w:val="18"/>
                <w:szCs w:val="18"/>
                <w:lang w:val="bg-BG"/>
              </w:rPr>
            </w:pPr>
            <w:r w:rsidRPr="00C872F1">
              <w:rPr>
                <w:b/>
                <w:bCs/>
                <w:sz w:val="18"/>
                <w:szCs w:val="18"/>
                <w:lang w:val="bg-BG"/>
              </w:rPr>
              <w:t>Срок на годност</w:t>
            </w:r>
            <w:r w:rsidR="00DE447C" w:rsidRPr="00C872F1">
              <w:rPr>
                <w:b/>
                <w:bCs/>
                <w:sz w:val="18"/>
                <w:szCs w:val="18"/>
                <w:lang w:val="bg-BG"/>
              </w:rPr>
              <w:t xml:space="preserve"> </w:t>
            </w:r>
          </w:p>
          <w:p w:rsidR="00A975D0" w:rsidRPr="00C872F1" w:rsidRDefault="00A975D0" w:rsidP="00DE447C">
            <w:pPr>
              <w:jc w:val="center"/>
              <w:rPr>
                <w:b/>
                <w:bCs/>
                <w:sz w:val="18"/>
                <w:szCs w:val="18"/>
                <w:lang w:val="bg-BG"/>
              </w:rPr>
            </w:pPr>
            <w:r w:rsidRPr="00C872F1">
              <w:rPr>
                <w:bCs/>
                <w:i/>
                <w:sz w:val="18"/>
                <w:szCs w:val="18"/>
                <w:lang w:val="bg-BG"/>
              </w:rPr>
              <w:t xml:space="preserve">(минимум - </w:t>
            </w:r>
            <w:r w:rsidR="00EE4CAB" w:rsidRPr="00C872F1">
              <w:rPr>
                <w:bCs/>
                <w:i/>
                <w:sz w:val="18"/>
                <w:szCs w:val="18"/>
                <w:lang w:val="bg-BG"/>
              </w:rPr>
              <w:t>3</w:t>
            </w:r>
            <w:r w:rsidRPr="00C872F1">
              <w:rPr>
                <w:bCs/>
                <w:i/>
                <w:sz w:val="18"/>
                <w:szCs w:val="18"/>
                <w:lang w:val="bg-BG"/>
              </w:rPr>
              <w:t xml:space="preserve"> месеца)</w:t>
            </w:r>
          </w:p>
        </w:tc>
        <w:tc>
          <w:tcPr>
            <w:tcW w:w="1701" w:type="dxa"/>
            <w:tcBorders>
              <w:top w:val="single" w:sz="8" w:space="0" w:color="auto"/>
              <w:left w:val="nil"/>
              <w:bottom w:val="single" w:sz="4" w:space="0" w:color="auto"/>
              <w:right w:val="single" w:sz="4" w:space="0" w:color="auto"/>
            </w:tcBorders>
            <w:shd w:val="clear" w:color="auto" w:fill="auto"/>
            <w:vAlign w:val="center"/>
          </w:tcPr>
          <w:p w:rsidR="00A975D0" w:rsidRPr="00A95C52" w:rsidRDefault="00A975D0" w:rsidP="00A95C52">
            <w:pPr>
              <w:jc w:val="center"/>
              <w:rPr>
                <w:b/>
                <w:bCs/>
                <w:sz w:val="18"/>
                <w:szCs w:val="18"/>
                <w:lang w:val="en-US"/>
              </w:rPr>
            </w:pPr>
            <w:r w:rsidRPr="00C872F1">
              <w:rPr>
                <w:b/>
                <w:bCs/>
                <w:sz w:val="18"/>
                <w:szCs w:val="18"/>
                <w:lang w:val="bg-BG"/>
              </w:rPr>
              <w:t xml:space="preserve">Срок </w:t>
            </w:r>
            <w:r w:rsidR="00A95C52">
              <w:rPr>
                <w:b/>
                <w:bCs/>
                <w:sz w:val="18"/>
                <w:szCs w:val="18"/>
                <w:lang w:val="bg-BG"/>
              </w:rPr>
              <w:t>за аварийна</w:t>
            </w:r>
            <w:r w:rsidRPr="00C872F1">
              <w:rPr>
                <w:b/>
                <w:bCs/>
                <w:sz w:val="18"/>
                <w:szCs w:val="18"/>
                <w:lang w:val="bg-BG"/>
              </w:rPr>
              <w:t xml:space="preserve"> доставка</w:t>
            </w:r>
            <w:r w:rsidR="00A95C52">
              <w:rPr>
                <w:b/>
                <w:bCs/>
                <w:sz w:val="18"/>
                <w:szCs w:val="18"/>
                <w:lang w:val="bg-BG"/>
              </w:rPr>
              <w:t xml:space="preserve">, </w:t>
            </w:r>
            <w:r w:rsidR="00A95C52" w:rsidRPr="00A95C52">
              <w:rPr>
                <w:bCs/>
                <w:sz w:val="18"/>
                <w:szCs w:val="18"/>
                <w:lang w:val="bg-BG"/>
              </w:rPr>
              <w:t>съгл</w:t>
            </w:r>
            <w:r w:rsidR="00A95C52">
              <w:rPr>
                <w:bCs/>
                <w:sz w:val="18"/>
                <w:szCs w:val="18"/>
                <w:lang w:val="bg-BG"/>
              </w:rPr>
              <w:t>асно</w:t>
            </w:r>
            <w:r w:rsidR="00A95C52" w:rsidRPr="00A95C52">
              <w:rPr>
                <w:bCs/>
                <w:sz w:val="18"/>
                <w:szCs w:val="18"/>
                <w:lang w:val="bg-BG"/>
              </w:rPr>
              <w:t xml:space="preserve"> т. 3.2. от договора</w:t>
            </w:r>
            <w:r w:rsidRPr="00A95C52">
              <w:rPr>
                <w:bCs/>
                <w:i/>
                <w:iCs/>
                <w:sz w:val="18"/>
                <w:szCs w:val="18"/>
                <w:lang w:val="bg-BG"/>
              </w:rPr>
              <w:t xml:space="preserve"> </w:t>
            </w:r>
            <w:r w:rsidR="00A95C52" w:rsidRPr="00A95C52">
              <w:rPr>
                <w:bCs/>
                <w:i/>
                <w:iCs/>
                <w:sz w:val="18"/>
                <w:szCs w:val="18"/>
                <w:lang w:val="en-US"/>
              </w:rPr>
              <w:t>(</w:t>
            </w:r>
            <w:r w:rsidRPr="00A95C52">
              <w:rPr>
                <w:bCs/>
                <w:i/>
                <w:iCs/>
                <w:sz w:val="18"/>
                <w:szCs w:val="18"/>
                <w:lang w:val="bg-BG"/>
              </w:rPr>
              <w:t>не повече от 3 календарни дни</w:t>
            </w:r>
            <w:r w:rsidR="00A95C52" w:rsidRPr="00A95C52">
              <w:rPr>
                <w:bCs/>
                <w:i/>
                <w:iCs/>
                <w:sz w:val="18"/>
                <w:szCs w:val="18"/>
                <w:lang w:val="en-US"/>
              </w:rPr>
              <w:t>)</w:t>
            </w:r>
          </w:p>
        </w:tc>
        <w:tc>
          <w:tcPr>
            <w:tcW w:w="1276" w:type="dxa"/>
            <w:tcBorders>
              <w:top w:val="single" w:sz="8" w:space="0" w:color="auto"/>
              <w:left w:val="nil"/>
              <w:bottom w:val="single" w:sz="4" w:space="0" w:color="auto"/>
              <w:right w:val="single" w:sz="4" w:space="0" w:color="auto"/>
            </w:tcBorders>
            <w:shd w:val="clear" w:color="auto" w:fill="auto"/>
            <w:vAlign w:val="center"/>
          </w:tcPr>
          <w:p w:rsidR="00A975D0" w:rsidRPr="00C872F1" w:rsidRDefault="00A975D0" w:rsidP="00972BD3">
            <w:pPr>
              <w:jc w:val="center"/>
              <w:rPr>
                <w:b/>
                <w:bCs/>
                <w:sz w:val="18"/>
                <w:szCs w:val="18"/>
                <w:lang w:val="bg-BG"/>
              </w:rPr>
            </w:pPr>
            <w:r w:rsidRPr="00C872F1">
              <w:rPr>
                <w:b/>
                <w:bCs/>
                <w:sz w:val="18"/>
                <w:szCs w:val="18"/>
                <w:lang w:val="bg-BG"/>
              </w:rPr>
              <w:t>Срок на доставка на нова стока съгл. т.5.</w:t>
            </w:r>
            <w:r w:rsidR="00972BD3">
              <w:rPr>
                <w:b/>
                <w:bCs/>
                <w:sz w:val="18"/>
                <w:szCs w:val="18"/>
                <w:lang w:val="en-US"/>
              </w:rPr>
              <w:t>6</w:t>
            </w:r>
            <w:r w:rsidRPr="00C872F1">
              <w:rPr>
                <w:b/>
                <w:bCs/>
                <w:sz w:val="18"/>
                <w:szCs w:val="18"/>
                <w:lang w:val="bg-BG"/>
              </w:rPr>
              <w:t>. -</w:t>
            </w:r>
            <w:r w:rsidRPr="00C872F1">
              <w:rPr>
                <w:b/>
                <w:bCs/>
                <w:sz w:val="18"/>
                <w:szCs w:val="18"/>
                <w:lang w:val="ru-RU"/>
              </w:rPr>
              <w:t xml:space="preserve"> </w:t>
            </w:r>
            <w:r w:rsidRPr="00C872F1">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Забележка</w:t>
            </w:r>
          </w:p>
        </w:tc>
      </w:tr>
      <w:tr w:rsidR="00A975D0" w:rsidRPr="00BD60AB" w:rsidTr="00A975D0">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3</w:t>
            </w:r>
          </w:p>
        </w:tc>
        <w:tc>
          <w:tcPr>
            <w:tcW w:w="2139"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7</w:t>
            </w:r>
          </w:p>
        </w:tc>
        <w:tc>
          <w:tcPr>
            <w:tcW w:w="885" w:type="dxa"/>
            <w:tcBorders>
              <w:top w:val="nil"/>
              <w:left w:val="nil"/>
              <w:bottom w:val="single" w:sz="4" w:space="0" w:color="auto"/>
              <w:right w:val="single" w:sz="8"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8</w:t>
            </w:r>
          </w:p>
        </w:tc>
        <w:tc>
          <w:tcPr>
            <w:tcW w:w="14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9</w:t>
            </w:r>
          </w:p>
        </w:tc>
        <w:tc>
          <w:tcPr>
            <w:tcW w:w="1407"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10</w:t>
            </w:r>
          </w:p>
        </w:tc>
        <w:tc>
          <w:tcPr>
            <w:tcW w:w="1701"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11</w:t>
            </w:r>
          </w:p>
        </w:tc>
        <w:tc>
          <w:tcPr>
            <w:tcW w:w="127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12</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13</w:t>
            </w:r>
          </w:p>
        </w:tc>
      </w:tr>
      <w:tr w:rsidR="00A975D0" w:rsidRPr="00BD60AB" w:rsidTr="00A975D0">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r w:rsidR="00A975D0" w:rsidRPr="00BD60AB" w:rsidTr="00A975D0">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Default="0074167A" w:rsidP="0074167A">
      <w:pPr>
        <w:spacing w:line="360" w:lineRule="auto"/>
        <w:rPr>
          <w:b/>
          <w:bCs/>
          <w:color w:val="FF0000"/>
          <w:szCs w:val="20"/>
          <w:lang w:val="bg-BG"/>
        </w:rPr>
      </w:pPr>
    </w:p>
    <w:p w:rsidR="00EE4CAB" w:rsidRPr="00A470F6" w:rsidRDefault="00EE4CAB"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6FB" w:rsidRDefault="00C206FB">
      <w:r>
        <w:separator/>
      </w:r>
    </w:p>
  </w:endnote>
  <w:endnote w:type="continuationSeparator" w:id="0">
    <w:p w:rsidR="00C206FB" w:rsidRDefault="00C206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3F02EA"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3F02EA"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93CD6">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93CD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6FB" w:rsidRDefault="00C206FB">
      <w:r>
        <w:separator/>
      </w:r>
    </w:p>
  </w:footnote>
  <w:footnote w:type="continuationSeparator" w:id="0">
    <w:p w:rsidR="00C206FB" w:rsidRDefault="00C206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08C3"/>
    <w:rsid w:val="001925D6"/>
    <w:rsid w:val="00192C1D"/>
    <w:rsid w:val="00194B40"/>
    <w:rsid w:val="001B3C9E"/>
    <w:rsid w:val="001B7F8E"/>
    <w:rsid w:val="001C11EB"/>
    <w:rsid w:val="001C12B0"/>
    <w:rsid w:val="001C558B"/>
    <w:rsid w:val="001C7FD8"/>
    <w:rsid w:val="001D1FBC"/>
    <w:rsid w:val="001E29EC"/>
    <w:rsid w:val="001E30D3"/>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17354"/>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3E9C"/>
    <w:rsid w:val="002B5720"/>
    <w:rsid w:val="002B5CCD"/>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04C8"/>
    <w:rsid w:val="003C3E21"/>
    <w:rsid w:val="003C5DDF"/>
    <w:rsid w:val="003C6254"/>
    <w:rsid w:val="003C79BB"/>
    <w:rsid w:val="003D23FE"/>
    <w:rsid w:val="003D286A"/>
    <w:rsid w:val="003D6311"/>
    <w:rsid w:val="003E115C"/>
    <w:rsid w:val="003E1FCC"/>
    <w:rsid w:val="003E2D4B"/>
    <w:rsid w:val="003F02EA"/>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BCD"/>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4DB4"/>
    <w:rsid w:val="0051640F"/>
    <w:rsid w:val="005221F0"/>
    <w:rsid w:val="00523187"/>
    <w:rsid w:val="00523A9A"/>
    <w:rsid w:val="005253E0"/>
    <w:rsid w:val="005308EB"/>
    <w:rsid w:val="005345BD"/>
    <w:rsid w:val="005350A6"/>
    <w:rsid w:val="00536546"/>
    <w:rsid w:val="005374BD"/>
    <w:rsid w:val="00540FB9"/>
    <w:rsid w:val="00544617"/>
    <w:rsid w:val="00551E8A"/>
    <w:rsid w:val="005529BC"/>
    <w:rsid w:val="00554EBF"/>
    <w:rsid w:val="005645D7"/>
    <w:rsid w:val="00565B50"/>
    <w:rsid w:val="005702F3"/>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4265"/>
    <w:rsid w:val="007E5177"/>
    <w:rsid w:val="007E5D2C"/>
    <w:rsid w:val="007F4267"/>
    <w:rsid w:val="007F77A0"/>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168"/>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2BD3"/>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CD6"/>
    <w:rsid w:val="00A93DAE"/>
    <w:rsid w:val="00A95005"/>
    <w:rsid w:val="00A95C52"/>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4713"/>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33A0"/>
    <w:rsid w:val="00C04F02"/>
    <w:rsid w:val="00C05157"/>
    <w:rsid w:val="00C074C8"/>
    <w:rsid w:val="00C1009E"/>
    <w:rsid w:val="00C16D1A"/>
    <w:rsid w:val="00C206FB"/>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872F1"/>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447C"/>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71B"/>
    <w:rsid w:val="00EC1F8C"/>
    <w:rsid w:val="00EC49FF"/>
    <w:rsid w:val="00ED10C0"/>
    <w:rsid w:val="00ED15CE"/>
    <w:rsid w:val="00ED2CDB"/>
    <w:rsid w:val="00ED4C39"/>
    <w:rsid w:val="00ED5F58"/>
    <w:rsid w:val="00EE0BE3"/>
    <w:rsid w:val="00EE1837"/>
    <w:rsid w:val="00EE4CAB"/>
    <w:rsid w:val="00F00CC6"/>
    <w:rsid w:val="00F014A0"/>
    <w:rsid w:val="00F0279F"/>
    <w:rsid w:val="00F16B6C"/>
    <w:rsid w:val="00F170C2"/>
    <w:rsid w:val="00F2084B"/>
    <w:rsid w:val="00F22C51"/>
    <w:rsid w:val="00F241DB"/>
    <w:rsid w:val="00F30AD2"/>
    <w:rsid w:val="00F325F1"/>
    <w:rsid w:val="00F34A5C"/>
    <w:rsid w:val="00F43AB5"/>
    <w:rsid w:val="00F457A9"/>
    <w:rsid w:val="00F5776E"/>
    <w:rsid w:val="00F66726"/>
    <w:rsid w:val="00F70ED1"/>
    <w:rsid w:val="00F74BD8"/>
    <w:rsid w:val="00F75ADC"/>
    <w:rsid w:val="00F80187"/>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953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30</cp:revision>
  <cp:lastPrinted>2018-03-16T05:55:00Z</cp:lastPrinted>
  <dcterms:created xsi:type="dcterms:W3CDTF">2016-07-05T05:59:00Z</dcterms:created>
  <dcterms:modified xsi:type="dcterms:W3CDTF">2018-03-16T05:55:00Z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